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A" w:rsidRPr="002E72FA" w:rsidRDefault="00F6229A" w:rsidP="002E72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72FA">
        <w:rPr>
          <w:rFonts w:ascii="Times New Roman" w:hAnsi="Times New Roman" w:cs="Times New Roman"/>
          <w:b/>
          <w:sz w:val="36"/>
          <w:szCs w:val="36"/>
        </w:rPr>
        <w:t>Что должен знать потребитель о детских удерживающих устройствах (памятка)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Перевозка детей до 12-летнего возраста в транспортных средствах обязательно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безопасности.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Для того чтобы сделать правильный выбор при покупке детского удерживающего устройства, необходимо помнить, что Законом Российской Федерации «О защите прав потребителей» определено, что изготовитель (продавец) обязан своевременно предоставлять потребителю необходимую и достоверную информацию о товаре, обеспечивающую возможность его правильного выбора. Информация о товаре в наглядной и доступной форме доводится до сведения потребителей при заключении договора купли-продажи. Детские удерживающие устройства подлежат обязательной сертификации.  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Указанным законом также закреплено право потребителя на безопасность товара при обычных условиях его использования, хранения, транспортировки и утилизации в течение установленного срока службы (эксплуатации). При этом</w:t>
      </w:r>
      <w:proofErr w:type="gramStart"/>
      <w:r w:rsidRPr="00F622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229A">
        <w:rPr>
          <w:rFonts w:ascii="Times New Roman" w:hAnsi="Times New Roman" w:cs="Times New Roman"/>
          <w:sz w:val="28"/>
          <w:szCs w:val="28"/>
        </w:rPr>
        <w:t xml:space="preserve"> в законе определено, что если для безопасности использования товара необходимо соблюдать специальные правила, изготовить обязан указать эти правила в сопроводительной документации на товаре, этикетке, маркировкой или иным способом, а продавец обязан довести эти правила до сведения потребителя.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Требования по безопасности к удерживающим устройствам для детей установлены техническим регламентом Таможенного союза «О безопасности колесных транспортных средств» (</w:t>
      </w:r>
      <w:proofErr w:type="gramStart"/>
      <w:r w:rsidRPr="00F622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6229A">
        <w:rPr>
          <w:rFonts w:ascii="Times New Roman" w:hAnsi="Times New Roman" w:cs="Times New Roman"/>
          <w:sz w:val="28"/>
          <w:szCs w:val="28"/>
        </w:rPr>
        <w:t xml:space="preserve"> ТС 018/2011), утвержденных Решением Комиссии Таможенного союза от 09.12.2011 № 877. Согласно </w:t>
      </w:r>
      <w:proofErr w:type="gramStart"/>
      <w:r w:rsidRPr="00F622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6229A">
        <w:rPr>
          <w:rFonts w:ascii="Times New Roman" w:hAnsi="Times New Roman" w:cs="Times New Roman"/>
          <w:sz w:val="28"/>
          <w:szCs w:val="28"/>
        </w:rPr>
        <w:t xml:space="preserve"> ТС 018/2011 удерживающие устройства для детей отнесены к компонентам транспортных средств и на этом основании входят в перечень объектов технического регулирования.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На основе Правил Европейской экономической комиссии Организации Объединенных Наций № 44 в Российской Федерации утвержден и введен в действие Приказом 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от 20 декабря 2005 г. № 318-ст «ГОСТ </w:t>
      </w:r>
      <w:proofErr w:type="gramStart"/>
      <w:r w:rsidRPr="00F622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229A">
        <w:rPr>
          <w:rFonts w:ascii="Times New Roman" w:hAnsi="Times New Roman" w:cs="Times New Roman"/>
          <w:sz w:val="28"/>
          <w:szCs w:val="28"/>
        </w:rPr>
        <w:t xml:space="preserve"> 41.44-2005. Национальный стандарт Российской Федерации. Единообразные предписания, касающиеся удерживающих устройств для детей, находящихся в механических транспортных средствах», </w:t>
      </w:r>
      <w:proofErr w:type="gramStart"/>
      <w:r w:rsidRPr="00F6229A">
        <w:rPr>
          <w:rFonts w:ascii="Times New Roman" w:hAnsi="Times New Roman" w:cs="Times New Roman"/>
          <w:sz w:val="28"/>
          <w:szCs w:val="28"/>
        </w:rPr>
        <w:t>устанавливающий</w:t>
      </w:r>
      <w:proofErr w:type="gramEnd"/>
      <w:r w:rsidRPr="00F6229A">
        <w:rPr>
          <w:rFonts w:ascii="Times New Roman" w:hAnsi="Times New Roman" w:cs="Times New Roman"/>
          <w:sz w:val="28"/>
          <w:szCs w:val="28"/>
        </w:rPr>
        <w:t xml:space="preserve"> требования к безопасности детских удерживающих устройств.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29A">
        <w:rPr>
          <w:rFonts w:ascii="Times New Roman" w:hAnsi="Times New Roman" w:cs="Times New Roman"/>
          <w:sz w:val="28"/>
          <w:szCs w:val="28"/>
        </w:rPr>
        <w:t>В указанном стандарте определено, что детская удерживающая система (удерживающее устройство) 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</w:t>
      </w:r>
      <w:proofErr w:type="gramEnd"/>
      <w:r w:rsidRPr="00F6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229A">
        <w:rPr>
          <w:rFonts w:ascii="Times New Roman" w:hAnsi="Times New Roman" w:cs="Times New Roman"/>
          <w:sz w:val="28"/>
          <w:szCs w:val="28"/>
        </w:rPr>
        <w:lastRenderedPageBreak/>
        <w:t>противоударного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экрана), которое может быть прикреплено к внутренней части кузова автотранспортного средства.</w:t>
      </w:r>
      <w:proofErr w:type="gramEnd"/>
      <w:r w:rsidRPr="00F6229A">
        <w:rPr>
          <w:rFonts w:ascii="Times New Roman" w:hAnsi="Times New Roman" w:cs="Times New Roman"/>
          <w:sz w:val="28"/>
          <w:szCs w:val="28"/>
        </w:rPr>
        <w:t xml:space="preserve">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Детские удерживающие устройства подразделяют на пять весовых групп: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 группа 0 (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0) - для детей массой менее 10 кг;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 группа 0+ (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0+) - для детей массой менее 13 кг;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 группа I (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I) - для детей массой 9-18 кг;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 группа II (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II) - для детей массой 15-25 кг;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•группа III (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III) - для детей массой 22-36 кг.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Детские удерживающие устройства могут быть двух конструкций: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•цельной (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integral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), включающей в себя комплект лямок или гибких элементов с пряжкой, устройство регулирования, крепления и, в некоторых случаях, дополнительное сиденье и/или 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противоударный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экран, который может быть прикреплен с помощью собственной цельной лямки или лямок;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нецельной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non-integral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), включающей в себя частичное удерживающее устройство, которое при использовании в сочетании с ремнем безопасности для взрослых, проходящим вокруг туловища ребенка, или удерживающим устройством, в котором находится ребенок, образует детское удерживающее устройство в комплекте. 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Детские удерживающие устройства подразделяют на четыре категории: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• универсальная,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• ограниченная,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6229A">
        <w:rPr>
          <w:rFonts w:ascii="Times New Roman" w:hAnsi="Times New Roman" w:cs="Times New Roman"/>
          <w:sz w:val="28"/>
          <w:szCs w:val="28"/>
        </w:rPr>
        <w:t>полууниверсальная</w:t>
      </w:r>
      <w:proofErr w:type="spellEnd"/>
      <w:r w:rsidRPr="00F622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229A" w:rsidRPr="00F6229A" w:rsidRDefault="00F6229A" w:rsidP="00F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>•особая.</w:t>
      </w:r>
    </w:p>
    <w:p w:rsidR="00F6229A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A">
        <w:rPr>
          <w:rFonts w:ascii="Times New Roman" w:hAnsi="Times New Roman" w:cs="Times New Roman"/>
          <w:sz w:val="28"/>
          <w:szCs w:val="28"/>
        </w:rPr>
        <w:t xml:space="preserve">При выборе детских удерживающих устройств необходимо также обратить внимание, что к каждому устройству должны быть приложены инструкции по установке и эксплуатации, на русском языке. </w:t>
      </w:r>
    </w:p>
    <w:p w:rsidR="00930229" w:rsidRPr="00F6229A" w:rsidRDefault="00F6229A" w:rsidP="00F0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229A">
        <w:rPr>
          <w:rFonts w:ascii="Times New Roman" w:hAnsi="Times New Roman" w:cs="Times New Roman"/>
          <w:sz w:val="28"/>
          <w:szCs w:val="28"/>
        </w:rPr>
        <w:t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</w:t>
      </w:r>
    </w:p>
    <w:sectPr w:rsidR="00930229" w:rsidRPr="00F6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A4"/>
    <w:rsid w:val="002E72FA"/>
    <w:rsid w:val="005C64AA"/>
    <w:rsid w:val="006303A2"/>
    <w:rsid w:val="00B169A4"/>
    <w:rsid w:val="00C56BDA"/>
    <w:rsid w:val="00F03F0B"/>
    <w:rsid w:val="00F6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47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544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exif_MSED_ce5df7f52904d3315e8f39123afb2151cb24464956d5c11d349408e5fed8e185</dc:description>
  <cp:lastModifiedBy>Половникова А.А.</cp:lastModifiedBy>
  <cp:revision>6</cp:revision>
  <dcterms:created xsi:type="dcterms:W3CDTF">2017-04-19T08:06:00Z</dcterms:created>
  <dcterms:modified xsi:type="dcterms:W3CDTF">2017-04-24T12:15:00Z</dcterms:modified>
</cp:coreProperties>
</file>